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CD6" w:rsidRDefault="002350EC" w:rsidP="00120061">
      <w:pPr>
        <w:pStyle w:val="TableContents"/>
        <w:rPr>
          <w:b/>
          <w:bCs/>
        </w:rPr>
      </w:pPr>
      <w:r>
        <w:rPr>
          <w:b/>
          <w:bCs/>
          <w:noProof/>
          <w:lang w:val="en-IE" w:eastAsia="en-IE" w:bidi="ar-SA"/>
        </w:rPr>
        <w:drawing>
          <wp:inline distT="0" distB="0" distL="0" distR="0">
            <wp:extent cx="2124075" cy="1647825"/>
            <wp:effectExtent l="0" t="0" r="0" b="0"/>
            <wp:docPr id="1" name="Picture 1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7CD6" w:rsidRDefault="002041B4" w:rsidP="00120061">
      <w:pPr>
        <w:pStyle w:val="TableContents"/>
        <w:rPr>
          <w:b/>
          <w:bCs/>
        </w:rPr>
      </w:pPr>
      <w:r>
        <w:rPr>
          <w:b/>
          <w:bCs/>
        </w:rPr>
        <w:t xml:space="preserve">Voluntary Homeowners Relocation </w:t>
      </w:r>
      <w:r w:rsidR="00537CD6">
        <w:rPr>
          <w:b/>
          <w:bCs/>
        </w:rPr>
        <w:t xml:space="preserve">Scheme </w:t>
      </w:r>
      <w:r w:rsidR="00CF1294">
        <w:rPr>
          <w:b/>
          <w:bCs/>
        </w:rPr>
        <w:t>– Remedia</w:t>
      </w:r>
      <w:r w:rsidR="00576FDD">
        <w:rPr>
          <w:b/>
          <w:bCs/>
        </w:rPr>
        <w:t>l Works Application – Appendix 1</w:t>
      </w:r>
      <w:bookmarkStart w:id="0" w:name="_GoBack"/>
      <w:bookmarkEnd w:id="0"/>
    </w:p>
    <w:p w:rsidR="00CF1294" w:rsidRDefault="00CF1294" w:rsidP="00120061">
      <w:pPr>
        <w:pStyle w:val="TableContents"/>
        <w:rPr>
          <w:b/>
          <w:bCs/>
        </w:rPr>
      </w:pPr>
    </w:p>
    <w:p w:rsidR="00120061" w:rsidRPr="00CF1294" w:rsidRDefault="00CF1294">
      <w:r>
        <w:rPr>
          <w:b/>
        </w:rPr>
        <w:t>O</w:t>
      </w:r>
      <w:r w:rsidR="002041B4" w:rsidRPr="00CF1294">
        <w:rPr>
          <w:b/>
        </w:rPr>
        <w:t>ther identifiable benefits</w:t>
      </w:r>
      <w:r w:rsidR="002041B4">
        <w:t xml:space="preserve"> –</w:t>
      </w:r>
      <w:r w:rsidR="002041B4" w:rsidRPr="00CF1294">
        <w:t xml:space="preserve"> </w:t>
      </w:r>
      <w:r w:rsidR="00537CD6" w:rsidRPr="00CF1294">
        <w:t xml:space="preserve">benefits </w:t>
      </w:r>
      <w:r>
        <w:t xml:space="preserve">additional to </w:t>
      </w:r>
      <w:r w:rsidR="002041B4" w:rsidRPr="00CF1294">
        <w:t>any homes identified</w:t>
      </w:r>
      <w:r w:rsidR="00537CD6" w:rsidRPr="00CF1294">
        <w:t xml:space="preserve"> in 3.1 (a)</w:t>
      </w:r>
    </w:p>
    <w:p w:rsidR="00537CD6" w:rsidRPr="00CF1294" w:rsidRDefault="00537CD6">
      <w:r w:rsidRPr="00CF1294">
        <w:t>Calculation for box 5.1</w:t>
      </w:r>
      <w:r w:rsidR="00934AB1" w:rsidRPr="00CF1294">
        <w:t xml:space="preserve"> to </w:t>
      </w:r>
      <w:proofErr w:type="gramStart"/>
      <w:r w:rsidR="00934AB1" w:rsidRPr="00CF1294">
        <w:t>be based</w:t>
      </w:r>
      <w:proofErr w:type="gramEnd"/>
      <w:r w:rsidR="00934AB1" w:rsidRPr="00CF1294">
        <w:t xml:space="preserve"> on </w:t>
      </w:r>
      <w:r w:rsidR="00CF1294" w:rsidRPr="00CF1294">
        <w:t>following</w:t>
      </w:r>
      <w:r w:rsidR="00CF1294">
        <w:t>:</w:t>
      </w:r>
    </w:p>
    <w:p w:rsidR="00537CD6" w:rsidRPr="00CF1294" w:rsidRDefault="00537CD6"/>
    <w:tbl>
      <w:tblPr>
        <w:tblW w:w="11144" w:type="dxa"/>
        <w:tblInd w:w="-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12"/>
        <w:gridCol w:w="2269"/>
        <w:gridCol w:w="2269"/>
        <w:gridCol w:w="4394"/>
      </w:tblGrid>
      <w:tr w:rsidR="002041B4" w:rsidTr="002041B4"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1B4" w:rsidRDefault="002041B4" w:rsidP="008B739E">
            <w:pPr>
              <w:pStyle w:val="TableContents"/>
              <w:rPr>
                <w:b/>
                <w:bCs/>
                <w:color w:val="6666FF"/>
              </w:rPr>
            </w:pPr>
            <w:r>
              <w:rPr>
                <w:b/>
                <w:bCs/>
                <w:color w:val="6666FF"/>
              </w:rPr>
              <w:t xml:space="preserve">Criteria/Benefit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B4" w:rsidRDefault="002041B4">
            <w:pPr>
              <w:pStyle w:val="TableContents"/>
              <w:rPr>
                <w:b/>
                <w:bCs/>
                <w:color w:val="6666FF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1B4" w:rsidRDefault="002041B4">
            <w:pPr>
              <w:pStyle w:val="TableContents"/>
              <w:rPr>
                <w:b/>
                <w:bCs/>
                <w:color w:val="6666FF"/>
              </w:rPr>
            </w:pPr>
            <w:r>
              <w:rPr>
                <w:b/>
                <w:bCs/>
                <w:color w:val="6666FF"/>
              </w:rPr>
              <w:t>Category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1B4" w:rsidRDefault="002041B4">
            <w:pPr>
              <w:pStyle w:val="TableContents"/>
              <w:rPr>
                <w:b/>
                <w:bCs/>
                <w:color w:val="6666FF"/>
              </w:rPr>
            </w:pPr>
            <w:r>
              <w:rPr>
                <w:b/>
                <w:bCs/>
                <w:color w:val="6666FF"/>
              </w:rPr>
              <w:t xml:space="preserve">New Value </w:t>
            </w:r>
          </w:p>
        </w:tc>
      </w:tr>
      <w:tr w:rsidR="002041B4" w:rsidTr="002041B4"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1B4" w:rsidRDefault="002041B4">
            <w:pPr>
              <w:pStyle w:val="TableContents"/>
            </w:pPr>
            <w:r>
              <w:t>Home at risk of    flooding</w:t>
            </w: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  <w:r>
              <w:t>Home that has been flooded</w:t>
            </w: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  <w:r>
              <w:t>Commercial premises at risk of flooding</w:t>
            </w: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  <w:r>
              <w:t>Commercial premises flooded</w:t>
            </w: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  <w:r>
              <w:t>Agricultural land flooded</w:t>
            </w: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537CD6" w:rsidRDefault="00537CD6">
            <w:pPr>
              <w:pStyle w:val="TableContents"/>
            </w:pPr>
          </w:p>
          <w:p w:rsidR="002041B4" w:rsidRDefault="002041B4">
            <w:pPr>
              <w:pStyle w:val="TableContents"/>
            </w:pPr>
            <w:r>
              <w:t>Road Diversions</w:t>
            </w: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2041B4" w:rsidRDefault="002041B4" w:rsidP="002041B4">
            <w:pPr>
              <w:pStyle w:val="TableContents"/>
            </w:pPr>
            <w:r>
              <w:t>Homes cut off by flooding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1B4" w:rsidRDefault="002041B4">
            <w:pPr>
              <w:pStyle w:val="TableContents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1B4" w:rsidRDefault="002041B4">
            <w:pPr>
              <w:pStyle w:val="TableContents"/>
            </w:pPr>
            <w:r>
              <w:t>Bungalow (detached)</w:t>
            </w:r>
          </w:p>
          <w:p w:rsidR="002041B4" w:rsidRDefault="002041B4" w:rsidP="008B739E">
            <w:pPr>
              <w:pStyle w:val="TableContents"/>
              <w:rPr>
                <w:rFonts w:eastAsia="Liberation Serif" w:cs="Liberation Serif"/>
              </w:rPr>
            </w:pPr>
            <w:r>
              <w:t>Detached</w:t>
            </w:r>
          </w:p>
          <w:p w:rsidR="002041B4" w:rsidRDefault="002041B4">
            <w:pPr>
              <w:pStyle w:val="TableContents"/>
            </w:pPr>
            <w:r>
              <w:t>Other*</w:t>
            </w:r>
          </w:p>
          <w:p w:rsidR="002041B4" w:rsidRDefault="002041B4">
            <w:pPr>
              <w:pStyle w:val="TableContents"/>
            </w:pPr>
          </w:p>
          <w:p w:rsidR="002041B4" w:rsidRDefault="002041B4" w:rsidP="008B739E">
            <w:pPr>
              <w:pStyle w:val="TableContents"/>
            </w:pPr>
            <w:r>
              <w:t xml:space="preserve">* Other = semi-detached, apartment, terrace : </w:t>
            </w: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  <w:r>
              <w:t>Bungalow (detached)</w:t>
            </w:r>
          </w:p>
          <w:p w:rsidR="002041B4" w:rsidRDefault="002041B4" w:rsidP="008B739E">
            <w:pPr>
              <w:pStyle w:val="TableContents"/>
              <w:rPr>
                <w:rFonts w:eastAsia="Liberation Serif" w:cs="Liberation Serif"/>
              </w:rPr>
            </w:pPr>
            <w:r>
              <w:t>Detached</w:t>
            </w:r>
          </w:p>
          <w:p w:rsidR="002041B4" w:rsidRDefault="002041B4">
            <w:pPr>
              <w:pStyle w:val="TableContents"/>
            </w:pPr>
            <w:r>
              <w:t>Other**</w:t>
            </w: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  <w:r>
              <w:t>Farm yard/buildings also included under this category</w:t>
            </w: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  <w:rPr>
                <w:rFonts w:eastAsia="Liberation Serif" w:cs="Liberation Serif"/>
              </w:rPr>
            </w:pPr>
            <w:r>
              <w:t>Farm (yard/buildings) to be included in commercial;</w:t>
            </w: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  <w:rPr>
                <w:b/>
              </w:rPr>
            </w:pPr>
          </w:p>
          <w:p w:rsidR="002041B4" w:rsidRDefault="002041B4">
            <w:pPr>
              <w:pStyle w:val="TableContents"/>
              <w:rPr>
                <w:b/>
              </w:rPr>
            </w:pPr>
          </w:p>
          <w:p w:rsidR="002041B4" w:rsidRDefault="002041B4">
            <w:pPr>
              <w:pStyle w:val="TableContents"/>
              <w:rPr>
                <w:b/>
              </w:rPr>
            </w:pPr>
          </w:p>
          <w:p w:rsidR="002041B4" w:rsidRDefault="002041B4">
            <w:pPr>
              <w:pStyle w:val="TableContents"/>
              <w:rPr>
                <w:b/>
              </w:rPr>
            </w:pPr>
          </w:p>
          <w:p w:rsidR="002041B4" w:rsidRDefault="002041B4">
            <w:pPr>
              <w:pStyle w:val="TableContents"/>
            </w:pPr>
            <w:r w:rsidRPr="00FD33B9">
              <w:rPr>
                <w:b/>
              </w:rPr>
              <w:t>Border Region:</w:t>
            </w:r>
            <w:r>
              <w:t xml:space="preserve"> Cavan, Donegal, Leitrim, Louth, Monaghan, Sligo</w:t>
            </w: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  <w:r w:rsidRPr="00FD33B9">
              <w:rPr>
                <w:b/>
              </w:rPr>
              <w:t>West Region</w:t>
            </w:r>
            <w:r>
              <w:t>:</w:t>
            </w:r>
            <w:r>
              <w:tab/>
              <w:t>Mayo, Roscommon, Galway and Galway City</w:t>
            </w: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  <w:r w:rsidRPr="00FD33B9">
              <w:rPr>
                <w:b/>
              </w:rPr>
              <w:t>Midland Region:</w:t>
            </w:r>
            <w:r>
              <w:rPr>
                <w:b/>
              </w:rPr>
              <w:t xml:space="preserve"> </w:t>
            </w:r>
            <w:r>
              <w:t xml:space="preserve">Laois, Longford, </w:t>
            </w:r>
            <w:r>
              <w:lastRenderedPageBreak/>
              <w:t>Offaly, Westmeath</w:t>
            </w:r>
          </w:p>
          <w:p w:rsidR="002041B4" w:rsidRDefault="002041B4">
            <w:pPr>
              <w:pStyle w:val="TableContents"/>
            </w:pPr>
            <w:r w:rsidRPr="00FD33B9">
              <w:rPr>
                <w:b/>
              </w:rPr>
              <w:t>Mid-East Region:</w:t>
            </w:r>
            <w:r>
              <w:t xml:space="preserve"> Kildare, Meath, Wicklow</w:t>
            </w:r>
          </w:p>
          <w:p w:rsidR="002041B4" w:rsidRDefault="002041B4">
            <w:pPr>
              <w:pStyle w:val="TableContents"/>
              <w:rPr>
                <w:rFonts w:eastAsia="Liberation Serif" w:cs="Liberation Serif"/>
              </w:rPr>
            </w:pPr>
          </w:p>
          <w:p w:rsidR="002041B4" w:rsidRDefault="002041B4">
            <w:pPr>
              <w:pStyle w:val="TableContents"/>
              <w:rPr>
                <w:rFonts w:eastAsia="Liberation Serif" w:cs="Liberation Serif"/>
              </w:rPr>
            </w:pPr>
            <w:r w:rsidRPr="00FD33B9">
              <w:rPr>
                <w:b/>
              </w:rPr>
              <w:t>Dublin Region:</w:t>
            </w:r>
            <w:r>
              <w:t xml:space="preserve"> </w:t>
            </w:r>
            <w:proofErr w:type="spellStart"/>
            <w:r>
              <w:t>Dún</w:t>
            </w:r>
            <w:proofErr w:type="spellEnd"/>
            <w:r>
              <w:t xml:space="preserve"> Laoghaire–</w:t>
            </w:r>
            <w:proofErr w:type="spellStart"/>
            <w:r>
              <w:t>Rathdown</w:t>
            </w:r>
            <w:proofErr w:type="spellEnd"/>
            <w:r>
              <w:t>, Fingal, South Dublin and Dublin City</w:t>
            </w:r>
          </w:p>
          <w:p w:rsidR="002041B4" w:rsidRDefault="002041B4">
            <w:pPr>
              <w:pStyle w:val="TableContents"/>
              <w:rPr>
                <w:rFonts w:eastAsia="Liberation Serif" w:cs="Liberation Serif"/>
              </w:rPr>
            </w:pPr>
          </w:p>
          <w:p w:rsidR="002041B4" w:rsidRDefault="002041B4">
            <w:pPr>
              <w:pStyle w:val="TableContents"/>
              <w:rPr>
                <w:rFonts w:eastAsia="Liberation Serif" w:cs="Liberation Serif"/>
              </w:rPr>
            </w:pPr>
            <w:r w:rsidRPr="00FD33B9">
              <w:rPr>
                <w:b/>
              </w:rPr>
              <w:t>South-East Region:</w:t>
            </w:r>
            <w:r>
              <w:t xml:space="preserve"> Carlow, Kilkenny, South Tipperary, Wexford, Waterford City &amp; County</w:t>
            </w:r>
          </w:p>
          <w:p w:rsidR="002041B4" w:rsidRDefault="002041B4">
            <w:pPr>
              <w:pStyle w:val="TableContents"/>
              <w:rPr>
                <w:rFonts w:eastAsia="Liberation Serif" w:cs="Liberation Serif"/>
              </w:rPr>
            </w:pPr>
          </w:p>
          <w:p w:rsidR="002041B4" w:rsidRDefault="002041B4">
            <w:pPr>
              <w:pStyle w:val="TableContents"/>
              <w:rPr>
                <w:rFonts w:eastAsia="Liberation Serif" w:cs="Liberation Serif"/>
              </w:rPr>
            </w:pPr>
            <w:r w:rsidRPr="00861063">
              <w:rPr>
                <w:b/>
              </w:rPr>
              <w:t>South-West Region:</w:t>
            </w:r>
            <w:r>
              <w:t xml:space="preserve"> Kerry, Cork and Cork City</w:t>
            </w:r>
          </w:p>
          <w:p w:rsidR="002041B4" w:rsidRDefault="002041B4">
            <w:pPr>
              <w:pStyle w:val="TableContents"/>
              <w:rPr>
                <w:rFonts w:eastAsia="Liberation Serif" w:cs="Liberation Serif"/>
              </w:rPr>
            </w:pPr>
          </w:p>
          <w:p w:rsidR="002041B4" w:rsidRDefault="002041B4">
            <w:pPr>
              <w:pStyle w:val="TableContents"/>
              <w:rPr>
                <w:rFonts w:eastAsia="Liberation Serif" w:cs="Liberation Serif"/>
              </w:rPr>
            </w:pPr>
            <w:r w:rsidRPr="00861063">
              <w:rPr>
                <w:b/>
              </w:rPr>
              <w:t>Mid-West Region:</w:t>
            </w:r>
            <w:r>
              <w:t xml:space="preserve"> Clare, North Tipperary, Limerick City &amp; County</w:t>
            </w:r>
          </w:p>
          <w:p w:rsidR="002041B4" w:rsidRDefault="002041B4">
            <w:pPr>
              <w:pStyle w:val="TableContents"/>
              <w:rPr>
                <w:rFonts w:eastAsia="Liberation Serif" w:cs="Liberation Serif"/>
              </w:rPr>
            </w:pPr>
          </w:p>
          <w:p w:rsidR="002041B4" w:rsidRDefault="002041B4">
            <w:pPr>
              <w:pStyle w:val="TableContents"/>
              <w:rPr>
                <w:rFonts w:eastAsia="Liberation Serif" w:cs="Liberation Serif"/>
              </w:rPr>
            </w:pPr>
          </w:p>
          <w:p w:rsidR="002041B4" w:rsidRDefault="002041B4">
            <w:pPr>
              <w:pStyle w:val="TableContents"/>
              <w:rPr>
                <w:rFonts w:eastAsia="Liberation Serif" w:cs="Liberation Serif"/>
              </w:rPr>
            </w:pPr>
          </w:p>
          <w:p w:rsidR="002041B4" w:rsidRDefault="002041B4">
            <w:pPr>
              <w:pStyle w:val="TableContents"/>
              <w:rPr>
                <w:rFonts w:eastAsia="Liberation Serif" w:cs="Liberation Serif"/>
              </w:rPr>
            </w:pPr>
          </w:p>
          <w:p w:rsidR="002041B4" w:rsidRDefault="002041B4">
            <w:pPr>
              <w:pStyle w:val="TableContents"/>
              <w:rPr>
                <w:rFonts w:eastAsia="Liberation Serif" w:cs="Liberation Serif"/>
              </w:rPr>
            </w:pPr>
          </w:p>
          <w:p w:rsidR="002041B4" w:rsidRDefault="002041B4">
            <w:pPr>
              <w:pStyle w:val="TableContents"/>
            </w:pPr>
          </w:p>
          <w:p w:rsidR="00537CD6" w:rsidRDefault="00537CD6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  <w:r>
              <w:t>Local road</w:t>
            </w:r>
          </w:p>
          <w:p w:rsidR="002041B4" w:rsidRDefault="002041B4">
            <w:pPr>
              <w:pStyle w:val="TableContents"/>
            </w:pPr>
            <w:r>
              <w:t>Regional road</w:t>
            </w:r>
          </w:p>
          <w:p w:rsidR="002041B4" w:rsidRDefault="002041B4">
            <w:pPr>
              <w:pStyle w:val="TableContents"/>
            </w:pPr>
            <w:r>
              <w:t>National road</w:t>
            </w:r>
          </w:p>
          <w:p w:rsidR="002041B4" w:rsidRDefault="002041B4">
            <w:pPr>
              <w:pStyle w:val="TableContents"/>
            </w:pPr>
            <w:r>
              <w:t>Motorway</w:t>
            </w: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  <w:rPr>
                <w:rFonts w:eastAsia="Liberation Serif" w:cs="Liberation Serif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1B4" w:rsidRDefault="002041B4">
            <w:pPr>
              <w:pStyle w:val="TableContents"/>
              <w:rPr>
                <w:rFonts w:eastAsia="Liberation Serif" w:cs="Liberation Serif"/>
              </w:rPr>
            </w:pPr>
            <w:r>
              <w:rPr>
                <w:rFonts w:eastAsia="Liberation Serif" w:cs="Liberation Serif"/>
              </w:rPr>
              <w:lastRenderedPageBreak/>
              <w:t>€</w:t>
            </w:r>
            <w:r>
              <w:t xml:space="preserve">12,500        </w:t>
            </w:r>
          </w:p>
          <w:p w:rsidR="002041B4" w:rsidRDefault="002041B4">
            <w:pPr>
              <w:pStyle w:val="TableContents"/>
            </w:pPr>
            <w:r>
              <w:rPr>
                <w:rFonts w:eastAsia="Liberation Serif" w:cs="Liberation Serif"/>
              </w:rPr>
              <w:t>€</w:t>
            </w:r>
            <w:r>
              <w:t xml:space="preserve">11,000  </w:t>
            </w:r>
          </w:p>
          <w:p w:rsidR="002041B4" w:rsidRDefault="002041B4">
            <w:pPr>
              <w:pStyle w:val="TableContents"/>
            </w:pPr>
            <w:r>
              <w:rPr>
                <w:rFonts w:eastAsia="Liberation Serif" w:cs="Liberation Serif"/>
              </w:rPr>
              <w:t>€</w:t>
            </w:r>
            <w:r>
              <w:t xml:space="preserve">10,000    </w:t>
            </w: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  <w:rPr>
                <w:rFonts w:eastAsia="Liberation Serif" w:cs="Liberation Serif"/>
              </w:rPr>
            </w:pPr>
          </w:p>
          <w:p w:rsidR="002041B4" w:rsidRDefault="002041B4">
            <w:pPr>
              <w:pStyle w:val="TableContents"/>
              <w:rPr>
                <w:rFonts w:eastAsia="Liberation Serif" w:cs="Liberation Serif"/>
              </w:rPr>
            </w:pPr>
          </w:p>
          <w:p w:rsidR="002041B4" w:rsidRDefault="002041B4">
            <w:pPr>
              <w:pStyle w:val="TableContents"/>
              <w:rPr>
                <w:rFonts w:eastAsia="Liberation Serif" w:cs="Liberation Serif"/>
              </w:rPr>
            </w:pPr>
            <w:r>
              <w:rPr>
                <w:rFonts w:eastAsia="Liberation Serif" w:cs="Liberation Serif"/>
              </w:rPr>
              <w:t>€</w:t>
            </w:r>
            <w:r>
              <w:t xml:space="preserve">39,000  </w:t>
            </w:r>
          </w:p>
          <w:p w:rsidR="002041B4" w:rsidRDefault="002041B4">
            <w:pPr>
              <w:pStyle w:val="TableContents"/>
            </w:pPr>
            <w:r>
              <w:rPr>
                <w:rFonts w:eastAsia="Liberation Serif" w:cs="Liberation Serif"/>
              </w:rPr>
              <w:t>€</w:t>
            </w:r>
            <w:r>
              <w:t xml:space="preserve">34,000    </w:t>
            </w:r>
          </w:p>
          <w:p w:rsidR="002041B4" w:rsidRDefault="002041B4">
            <w:pPr>
              <w:pStyle w:val="TableContents"/>
            </w:pPr>
            <w:r>
              <w:rPr>
                <w:rFonts w:eastAsia="Liberation Serif" w:cs="Liberation Serif"/>
              </w:rPr>
              <w:t>€</w:t>
            </w:r>
            <w:r>
              <w:t xml:space="preserve">30,000   </w:t>
            </w: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2041B4" w:rsidRDefault="002041B4" w:rsidP="0028711E">
            <w:pPr>
              <w:pStyle w:val="TableContents"/>
            </w:pPr>
            <w:r>
              <w:rPr>
                <w:rFonts w:eastAsia="Liberation Serif" w:cs="Liberation Serif"/>
              </w:rPr>
              <w:t xml:space="preserve">€10,000 </w:t>
            </w:r>
          </w:p>
          <w:p w:rsidR="002041B4" w:rsidRDefault="002041B4">
            <w:pPr>
              <w:pStyle w:val="TableContents"/>
              <w:rPr>
                <w:rFonts w:eastAsia="Liberation Serif" w:cs="Liberation Serif"/>
              </w:rPr>
            </w:pPr>
          </w:p>
          <w:p w:rsidR="002041B4" w:rsidRDefault="002041B4">
            <w:pPr>
              <w:pStyle w:val="TableContents"/>
              <w:rPr>
                <w:rFonts w:eastAsia="Liberation Serif" w:cs="Liberation Serif"/>
              </w:rPr>
            </w:pPr>
          </w:p>
          <w:p w:rsidR="002041B4" w:rsidRDefault="002041B4">
            <w:pPr>
              <w:pStyle w:val="TableContents"/>
              <w:rPr>
                <w:rFonts w:eastAsia="Liberation Serif" w:cs="Liberation Serif"/>
              </w:rPr>
            </w:pPr>
          </w:p>
          <w:p w:rsidR="002041B4" w:rsidRDefault="002041B4">
            <w:pPr>
              <w:pStyle w:val="TableContents"/>
            </w:pPr>
            <w:r>
              <w:rPr>
                <w:rFonts w:eastAsia="Liberation Serif" w:cs="Liberation Serif"/>
              </w:rPr>
              <w:t>€</w:t>
            </w:r>
            <w:r>
              <w:t xml:space="preserve">30,000  </w:t>
            </w:r>
          </w:p>
          <w:p w:rsidR="002041B4" w:rsidRDefault="002041B4">
            <w:pPr>
              <w:pStyle w:val="TableContents"/>
            </w:pPr>
          </w:p>
          <w:p w:rsidR="002041B4" w:rsidRDefault="002041B4" w:rsidP="00FD33B9">
            <w:pPr>
              <w:pStyle w:val="TableContents"/>
              <w:rPr>
                <w:rFonts w:cs="Liberation Serif"/>
                <w:lang w:eastAsia="en-IE"/>
              </w:rPr>
            </w:pPr>
          </w:p>
          <w:p w:rsidR="002041B4" w:rsidRDefault="002041B4" w:rsidP="00FD33B9">
            <w:pPr>
              <w:pStyle w:val="TableContents"/>
              <w:rPr>
                <w:rFonts w:cs="Liberation Serif"/>
                <w:lang w:eastAsia="en-IE"/>
              </w:rPr>
            </w:pPr>
          </w:p>
          <w:p w:rsidR="002041B4" w:rsidRDefault="002041B4" w:rsidP="00FD33B9">
            <w:pPr>
              <w:pStyle w:val="TableContents"/>
              <w:rPr>
                <w:rFonts w:cs="Liberation Serif"/>
                <w:lang w:eastAsia="en-IE"/>
              </w:rPr>
            </w:pPr>
          </w:p>
          <w:p w:rsidR="002041B4" w:rsidRPr="00861063" w:rsidRDefault="002041B4" w:rsidP="00FD33B9">
            <w:pPr>
              <w:pStyle w:val="TableContents"/>
              <w:rPr>
                <w:rFonts w:cs="Liberation Serif"/>
              </w:rPr>
            </w:pPr>
            <w:r w:rsidRPr="00861063">
              <w:rPr>
                <w:rFonts w:cs="Liberation Serif"/>
                <w:lang w:eastAsia="en-IE"/>
              </w:rPr>
              <w:t>figures on a</w:t>
            </w:r>
            <w:r>
              <w:rPr>
                <w:rFonts w:cs="Liberation Serif"/>
                <w:lang w:eastAsia="en-IE"/>
              </w:rPr>
              <w:t xml:space="preserve"> *</w:t>
            </w:r>
            <w:r w:rsidRPr="00861063">
              <w:rPr>
                <w:rFonts w:cs="Liberation Serif"/>
                <w:lang w:eastAsia="en-IE"/>
              </w:rPr>
              <w:t xml:space="preserve"> regional basis:</w:t>
            </w:r>
          </w:p>
          <w:p w:rsidR="002041B4" w:rsidRDefault="002041B4" w:rsidP="00FD33B9">
            <w:pPr>
              <w:pStyle w:val="TableContents"/>
            </w:pPr>
            <w:r>
              <w:t>Benefit per hectare flooded continuously for one month (figures rounded)</w:t>
            </w:r>
          </w:p>
          <w:p w:rsidR="002041B4" w:rsidRDefault="002041B4" w:rsidP="00FD33B9">
            <w:pPr>
              <w:pStyle w:val="TableContents"/>
              <w:rPr>
                <w:b/>
              </w:rPr>
            </w:pPr>
          </w:p>
          <w:p w:rsidR="002041B4" w:rsidRDefault="002041B4" w:rsidP="00FD33B9">
            <w:pPr>
              <w:pStyle w:val="TableContents"/>
            </w:pPr>
          </w:p>
          <w:p w:rsidR="002041B4" w:rsidRDefault="002041B4" w:rsidP="00FD33B9">
            <w:pPr>
              <w:pStyle w:val="TableContents"/>
            </w:pPr>
            <w:r>
              <w:t>€971</w:t>
            </w:r>
          </w:p>
          <w:p w:rsidR="002041B4" w:rsidRDefault="002041B4" w:rsidP="00FD33B9">
            <w:pPr>
              <w:pStyle w:val="TableContents"/>
            </w:pPr>
          </w:p>
          <w:p w:rsidR="002041B4" w:rsidRDefault="002041B4" w:rsidP="00FD33B9">
            <w:pPr>
              <w:pStyle w:val="TableContents"/>
            </w:pPr>
          </w:p>
          <w:p w:rsidR="002041B4" w:rsidRDefault="002041B4" w:rsidP="00FD33B9">
            <w:pPr>
              <w:pStyle w:val="TableContents"/>
            </w:pPr>
          </w:p>
          <w:p w:rsidR="002041B4" w:rsidRDefault="002041B4" w:rsidP="00FD33B9">
            <w:pPr>
              <w:pStyle w:val="TableContents"/>
            </w:pPr>
            <w:r>
              <w:t>€1,045</w:t>
            </w:r>
          </w:p>
          <w:p w:rsidR="002041B4" w:rsidRDefault="002041B4" w:rsidP="00FD33B9">
            <w:pPr>
              <w:pStyle w:val="TableContents"/>
            </w:pPr>
          </w:p>
          <w:p w:rsidR="002041B4" w:rsidRDefault="002041B4" w:rsidP="00FD33B9">
            <w:pPr>
              <w:pStyle w:val="TableContents"/>
            </w:pPr>
          </w:p>
          <w:p w:rsidR="002041B4" w:rsidRDefault="002041B4" w:rsidP="00FD33B9">
            <w:pPr>
              <w:pStyle w:val="TableContents"/>
            </w:pPr>
          </w:p>
          <w:p w:rsidR="002041B4" w:rsidRDefault="002041B4" w:rsidP="00FD33B9">
            <w:pPr>
              <w:pStyle w:val="TableContents"/>
            </w:pPr>
          </w:p>
          <w:p w:rsidR="002041B4" w:rsidRDefault="002041B4" w:rsidP="00FD33B9">
            <w:pPr>
              <w:pStyle w:val="TableContents"/>
            </w:pPr>
            <w:r>
              <w:lastRenderedPageBreak/>
              <w:t>€623</w:t>
            </w:r>
          </w:p>
          <w:p w:rsidR="002041B4" w:rsidRDefault="002041B4" w:rsidP="00FD33B9">
            <w:pPr>
              <w:pStyle w:val="TableContents"/>
            </w:pPr>
          </w:p>
          <w:p w:rsidR="002041B4" w:rsidRDefault="002041B4" w:rsidP="00FD33B9">
            <w:pPr>
              <w:pStyle w:val="TableContents"/>
            </w:pPr>
            <w:r>
              <w:t>€1,222</w:t>
            </w:r>
          </w:p>
          <w:p w:rsidR="002041B4" w:rsidRDefault="002041B4" w:rsidP="00FD33B9">
            <w:pPr>
              <w:pStyle w:val="TableContents"/>
            </w:pPr>
          </w:p>
          <w:p w:rsidR="002041B4" w:rsidRDefault="002041B4" w:rsidP="00FD33B9">
            <w:pPr>
              <w:pStyle w:val="TableContents"/>
            </w:pPr>
          </w:p>
          <w:p w:rsidR="002041B4" w:rsidRDefault="002041B4" w:rsidP="00FD33B9">
            <w:pPr>
              <w:pStyle w:val="TableContents"/>
            </w:pPr>
          </w:p>
          <w:p w:rsidR="002041B4" w:rsidRDefault="002041B4" w:rsidP="00FD33B9">
            <w:pPr>
              <w:pStyle w:val="TableContents"/>
            </w:pPr>
          </w:p>
          <w:p w:rsidR="002041B4" w:rsidRDefault="002041B4" w:rsidP="00FD33B9">
            <w:pPr>
              <w:pStyle w:val="TableContents"/>
            </w:pPr>
            <w:r>
              <w:t>€1,222</w:t>
            </w:r>
          </w:p>
          <w:p w:rsidR="002041B4" w:rsidRDefault="002041B4" w:rsidP="00FD33B9">
            <w:pPr>
              <w:pStyle w:val="TableContents"/>
            </w:pPr>
          </w:p>
          <w:p w:rsidR="002041B4" w:rsidRDefault="002041B4" w:rsidP="00FD33B9">
            <w:pPr>
              <w:pStyle w:val="TableContents"/>
            </w:pPr>
          </w:p>
          <w:p w:rsidR="002041B4" w:rsidRDefault="002041B4" w:rsidP="00FD33B9">
            <w:pPr>
              <w:pStyle w:val="TableContents"/>
            </w:pPr>
          </w:p>
          <w:p w:rsidR="002041B4" w:rsidRDefault="002041B4" w:rsidP="00FD33B9">
            <w:pPr>
              <w:pStyle w:val="TableContents"/>
            </w:pPr>
          </w:p>
          <w:p w:rsidR="002041B4" w:rsidRDefault="002041B4" w:rsidP="00FD33B9">
            <w:pPr>
              <w:pStyle w:val="TableContents"/>
            </w:pPr>
          </w:p>
          <w:p w:rsidR="002041B4" w:rsidRDefault="002041B4" w:rsidP="00FD33B9">
            <w:pPr>
              <w:pStyle w:val="TableContents"/>
            </w:pPr>
            <w:r>
              <w:t>€1,068</w:t>
            </w:r>
          </w:p>
          <w:p w:rsidR="002041B4" w:rsidRDefault="002041B4" w:rsidP="00FD33B9">
            <w:pPr>
              <w:pStyle w:val="TableContents"/>
            </w:pPr>
          </w:p>
          <w:p w:rsidR="002041B4" w:rsidRDefault="002041B4" w:rsidP="00FD33B9">
            <w:pPr>
              <w:pStyle w:val="TableContents"/>
            </w:pPr>
          </w:p>
          <w:p w:rsidR="002041B4" w:rsidRDefault="002041B4" w:rsidP="00FD33B9">
            <w:pPr>
              <w:pStyle w:val="TableContents"/>
            </w:pPr>
          </w:p>
          <w:p w:rsidR="002041B4" w:rsidRDefault="002041B4" w:rsidP="00FD33B9">
            <w:pPr>
              <w:pStyle w:val="TableContents"/>
            </w:pPr>
            <w:r>
              <w:t>€1,474</w:t>
            </w:r>
          </w:p>
          <w:p w:rsidR="002041B4" w:rsidRDefault="002041B4" w:rsidP="00FD33B9">
            <w:pPr>
              <w:pStyle w:val="TableContents"/>
            </w:pPr>
          </w:p>
          <w:p w:rsidR="002041B4" w:rsidRDefault="002041B4" w:rsidP="00FD33B9">
            <w:pPr>
              <w:pStyle w:val="TableContents"/>
            </w:pPr>
          </w:p>
          <w:p w:rsidR="002041B4" w:rsidRDefault="002041B4" w:rsidP="00FD33B9">
            <w:pPr>
              <w:pStyle w:val="TableContents"/>
            </w:pPr>
          </w:p>
          <w:p w:rsidR="002041B4" w:rsidRDefault="002041B4" w:rsidP="00FD33B9">
            <w:pPr>
              <w:pStyle w:val="TableContents"/>
            </w:pPr>
          </w:p>
          <w:p w:rsidR="002041B4" w:rsidRDefault="002041B4" w:rsidP="00FD33B9">
            <w:pPr>
              <w:pStyle w:val="TableContents"/>
            </w:pPr>
            <w:r>
              <w:t>€1,363</w:t>
            </w:r>
          </w:p>
          <w:p w:rsidR="002041B4" w:rsidRDefault="002041B4">
            <w:pPr>
              <w:pStyle w:val="TableContents"/>
            </w:pPr>
          </w:p>
          <w:p w:rsidR="002041B4" w:rsidRDefault="002041B4" w:rsidP="003B5CD4">
            <w:r>
              <w:rPr>
                <w:rStyle w:val="FootnoteReference"/>
              </w:rPr>
              <w:t>*</w:t>
            </w:r>
            <w:r>
              <w:t xml:space="preserve"> NUTS regional classification code</w:t>
            </w: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  <w:r>
              <w:t>For each 12 hours of closure and 10k increase in journey - allowances based on road type as follows:</w:t>
            </w: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</w:pPr>
            <w:r>
              <w:t xml:space="preserve">  </w:t>
            </w:r>
          </w:p>
          <w:p w:rsidR="002041B4" w:rsidRDefault="002041B4">
            <w:pPr>
              <w:pStyle w:val="TableContents"/>
            </w:pPr>
            <w:r>
              <w:t xml:space="preserve">  €5,000 </w:t>
            </w:r>
          </w:p>
          <w:p w:rsidR="002041B4" w:rsidRDefault="002041B4">
            <w:pPr>
              <w:pStyle w:val="TableContents"/>
            </w:pPr>
            <w:r>
              <w:t xml:space="preserve">  €12,000</w:t>
            </w:r>
          </w:p>
          <w:p w:rsidR="002041B4" w:rsidRDefault="002041B4">
            <w:pPr>
              <w:pStyle w:val="TableContents"/>
            </w:pPr>
            <w:r>
              <w:t xml:space="preserve">  €30,000</w:t>
            </w:r>
          </w:p>
          <w:p w:rsidR="002041B4" w:rsidRDefault="002041B4">
            <w:pPr>
              <w:pStyle w:val="TableContents"/>
            </w:pPr>
            <w:r>
              <w:t xml:space="preserve">  €78,000</w:t>
            </w:r>
          </w:p>
          <w:p w:rsidR="002041B4" w:rsidRDefault="002041B4">
            <w:pPr>
              <w:pStyle w:val="TableContents"/>
            </w:pPr>
            <w:r>
              <w:t>Above amounts applied pro-rata based on duration of road closure and length of increased journey.</w:t>
            </w:r>
          </w:p>
          <w:p w:rsidR="002041B4" w:rsidRDefault="002041B4">
            <w:pPr>
              <w:pStyle w:val="TableContents"/>
            </w:pPr>
          </w:p>
          <w:p w:rsidR="002041B4" w:rsidRDefault="002041B4">
            <w:pPr>
              <w:pStyle w:val="TableContents"/>
              <w:rPr>
                <w:rFonts w:eastAsia="Liberation Serif" w:cs="Liberation Serif"/>
              </w:rPr>
            </w:pPr>
          </w:p>
          <w:p w:rsidR="002041B4" w:rsidRDefault="002041B4" w:rsidP="002041B4">
            <w:pPr>
              <w:pStyle w:val="TableContents"/>
            </w:pPr>
            <w:r>
              <w:rPr>
                <w:rFonts w:eastAsia="Liberation Serif" w:cs="Liberation Serif"/>
              </w:rPr>
              <w:t>€</w:t>
            </w:r>
            <w:r>
              <w:t>170 per day per home</w:t>
            </w:r>
          </w:p>
        </w:tc>
      </w:tr>
    </w:tbl>
    <w:p w:rsidR="00FD33B9" w:rsidRDefault="00FD33B9"/>
    <w:sectPr w:rsidR="00FD33B9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D47"/>
    <w:rsid w:val="00120061"/>
    <w:rsid w:val="0016043D"/>
    <w:rsid w:val="002041B4"/>
    <w:rsid w:val="002350EC"/>
    <w:rsid w:val="0028711E"/>
    <w:rsid w:val="0032591B"/>
    <w:rsid w:val="003B5CD4"/>
    <w:rsid w:val="00537CD6"/>
    <w:rsid w:val="00576FDD"/>
    <w:rsid w:val="00636CD7"/>
    <w:rsid w:val="0065326B"/>
    <w:rsid w:val="00822B2A"/>
    <w:rsid w:val="008564BE"/>
    <w:rsid w:val="00861063"/>
    <w:rsid w:val="008B739E"/>
    <w:rsid w:val="00934AB1"/>
    <w:rsid w:val="00AA2D47"/>
    <w:rsid w:val="00C472E0"/>
    <w:rsid w:val="00CF1294"/>
    <w:rsid w:val="00D4059A"/>
    <w:rsid w:val="00F965D0"/>
    <w:rsid w:val="00FD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706C093"/>
  <w15:chartTrackingRefBased/>
  <w15:docId w15:val="{C398224D-6AE4-46F0-8073-9AA7E21CE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Liberation Serif" w:eastAsia="SimSun" w:hAnsi="Liberation Serif" w:cs="Mangal"/>
      <w:kern w:val="1"/>
      <w:sz w:val="24"/>
      <w:szCs w:val="24"/>
      <w:lang w:val="en-GB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FootnoteReference">
    <w:name w:val="footnote reference"/>
    <w:uiPriority w:val="99"/>
    <w:semiHidden/>
    <w:rsid w:val="003B5C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Minor Works Scheme Review  :   Proposed Changes in Criteria and Benefit Allowances</vt:lpstr>
    </vt:vector>
  </TitlesOfParts>
  <Company>Office of Public Works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Minor Works Scheme Review  :   Proposed Changes in Criteria and Benefit Allowances</dc:title>
  <dc:subject/>
  <dc:creator>Liam Basquille</dc:creator>
  <cp:keywords/>
  <dc:description/>
  <cp:lastModifiedBy>Nicola Haran</cp:lastModifiedBy>
  <cp:revision>2</cp:revision>
  <cp:lastPrinted>2017-06-02T14:52:00Z</cp:lastPrinted>
  <dcterms:created xsi:type="dcterms:W3CDTF">2017-09-20T15:44:00Z</dcterms:created>
  <dcterms:modified xsi:type="dcterms:W3CDTF">2017-09-20T15:44:00Z</dcterms:modified>
</cp:coreProperties>
</file>